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D97BC" w14:textId="77777777" w:rsidR="008A55A4" w:rsidRDefault="008A55A4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5E2C5352" w14:textId="4D462386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Auktorisationssystem för </w:t>
      </w:r>
    </w:p>
    <w:p w14:paraId="6585538B" w14:textId="77777777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46E2E4C5" w14:textId="77777777" w:rsidR="00B34791" w:rsidRPr="00533910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f</w:t>
      </w:r>
      <w:r w:rsidRPr="006951FE">
        <w:rPr>
          <w:b/>
          <w:sz w:val="48"/>
          <w:szCs w:val="48"/>
        </w:rPr>
        <w:t xml:space="preserve">astighetsnära insamling av </w:t>
      </w:r>
      <w:r w:rsidRPr="00533910">
        <w:rPr>
          <w:b/>
          <w:sz w:val="48"/>
          <w:szCs w:val="48"/>
        </w:rPr>
        <w:t xml:space="preserve">flytande </w:t>
      </w:r>
    </w:p>
    <w:p w14:paraId="096F3B47" w14:textId="77777777" w:rsidR="00B34791" w:rsidRPr="00533910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0B41C0E1" w14:textId="77777777" w:rsidR="00B34791" w:rsidRPr="0052412C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  <w:r w:rsidRPr="00533910">
        <w:rPr>
          <w:b/>
          <w:sz w:val="48"/>
          <w:szCs w:val="48"/>
        </w:rPr>
        <w:t>matfett hos verksamheter</w:t>
      </w:r>
    </w:p>
    <w:p w14:paraId="7491200C" w14:textId="570821D0" w:rsidR="00B34791" w:rsidRDefault="00FE0A23" w:rsidP="00B34791">
      <w:pPr>
        <w:spacing w:before="0" w:after="0" w:line="24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instrText xml:space="preserve">202327279</w:instrText>
      </w:r>
    </w:p>
    <w:p w14:paraId="7E8761EB" w14:textId="77777777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2AC4746D" w14:textId="77777777" w:rsidR="00B34791" w:rsidRDefault="00B34791" w:rsidP="00B34791">
      <w:pPr>
        <w:spacing w:before="0" w:after="0" w:line="240" w:lineRule="auto"/>
        <w:jc w:val="center"/>
        <w:rPr>
          <w:b/>
          <w:sz w:val="48"/>
          <w:szCs w:val="48"/>
        </w:rPr>
      </w:pPr>
    </w:p>
    <w:p w14:paraId="4DB33D68" w14:textId="77777777" w:rsidR="00B34791" w:rsidRDefault="00B34791" w:rsidP="00B34791">
      <w:pPr>
        <w:spacing w:before="0" w:after="0" w:line="240" w:lineRule="auto"/>
        <w:jc w:val="center"/>
        <w:rPr>
          <w:sz w:val="48"/>
          <w:szCs w:val="48"/>
        </w:rPr>
      </w:pPr>
      <w:r>
        <w:rPr>
          <w:sz w:val="48"/>
          <w:szCs w:val="48"/>
        </w:rPr>
        <w:t>Administrativa föreskrifter</w:t>
      </w:r>
    </w:p>
    <w:p w14:paraId="7047A761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07ED23F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2F894140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F99068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C9C071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8C8D0FA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0B05D593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9DF1834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EB07EBE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3FB48F7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A2B1501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1D1A913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34FEBFC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C1CF13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D5EE6E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CCD2BE5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4619D352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67CCD68A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84F5F99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581346E6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7693C8FB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1E9246D0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4A1364F8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7D1AD1AB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27C6CBB7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621985C0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42669C60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4869525E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3B218E12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60BB174F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5C55598F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762B7FB0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77A940E4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206E896B" w14:textId="77777777" w:rsidR="009D62F5" w:rsidRDefault="009D62F5" w:rsidP="00B34791">
      <w:pPr>
        <w:spacing w:before="0" w:after="0" w:line="240" w:lineRule="auto"/>
        <w:jc w:val="center"/>
        <w:rPr>
          <w:b/>
          <w:szCs w:val="48"/>
        </w:rPr>
      </w:pPr>
    </w:p>
    <w:p w14:paraId="6CB35654" w14:textId="77777777" w:rsidR="00B34791" w:rsidRDefault="00B34791" w:rsidP="00B34791">
      <w:pPr>
        <w:spacing w:before="0" w:after="0" w:line="240" w:lineRule="auto"/>
        <w:jc w:val="center"/>
        <w:rPr>
          <w:b/>
          <w:szCs w:val="48"/>
        </w:rPr>
      </w:pPr>
    </w:p>
    <w:p w14:paraId="3703BA45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>
        <w:rPr>
          <w:rFonts w:ascii="Arial-BoldMT" w:hAnsi="Arial-BoldMT" w:cs="Arial-BoldMT"/>
          <w:b/>
          <w:bCs/>
          <w:color w:val="000000"/>
          <w:szCs w:val="22"/>
        </w:rPr>
        <w:t>1 ALLMÄN ORIENTERING</w:t>
      </w:r>
    </w:p>
    <w:p w14:paraId="250DB65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1A1825AF" w14:textId="77777777" w:rsidR="00B34791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szCs w:val="22"/>
        </w:rPr>
      </w:pPr>
      <w:r w:rsidRPr="003F6C09">
        <w:rPr>
          <w:rFonts w:ascii="Arial-BoldMT" w:hAnsi="Arial-BoldMT" w:cs="Arial-BoldMT"/>
          <w:b/>
          <w:bCs/>
          <w:szCs w:val="22"/>
        </w:rPr>
        <w:t>Auktoriserande myndighet</w:t>
      </w:r>
    </w:p>
    <w:p w14:paraId="2B6A5F66" w14:textId="77777777" w:rsidR="00B34791" w:rsidRPr="003F6C09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szCs w:val="22"/>
        </w:rPr>
      </w:pPr>
    </w:p>
    <w:p w14:paraId="2ADAA811" w14:textId="77777777" w:rsidR="00B34791" w:rsidRPr="006930D4" w:rsidRDefault="00B34791" w:rsidP="00B34791">
      <w:pPr>
        <w:pStyle w:val="Normalwebb"/>
        <w:spacing w:before="0" w:beforeAutospacing="0" w:after="0" w:afterAutospacing="0"/>
        <w:rPr>
          <w:rFonts w:ascii="Roboto" w:hAnsi="Roboto"/>
          <w:sz w:val="22"/>
          <w:szCs w:val="22"/>
        </w:rPr>
      </w:pPr>
      <w:r w:rsidRPr="006930D4">
        <w:rPr>
          <w:rFonts w:ascii="ArialMT" w:hAnsi="ArialMT" w:cs="ArialMT"/>
          <w:sz w:val="22"/>
          <w:szCs w:val="22"/>
        </w:rPr>
        <w:t>Auktoriserande myndighet är Vakin på uppdrag av Umeå Vatten och Avfall, Nordmaling Vatten och Avfall samt Vindeln Vatten och Avfall, 559028–8899</w:t>
      </w:r>
    </w:p>
    <w:p w14:paraId="216E701D" w14:textId="77777777" w:rsidR="00B34791" w:rsidRPr="006930D4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 w:rsidRPr="006930D4">
        <w:rPr>
          <w:rFonts w:ascii="ArialMT" w:hAnsi="ArialMT" w:cs="ArialMT"/>
          <w:szCs w:val="22"/>
        </w:rPr>
        <w:t>(”</w:t>
      </w:r>
      <w:r w:rsidRPr="006930D4">
        <w:rPr>
          <w:rFonts w:ascii="Arial-BoldMT" w:hAnsi="Arial-BoldMT" w:cs="Arial-BoldMT"/>
          <w:b/>
          <w:bCs/>
          <w:szCs w:val="22"/>
        </w:rPr>
        <w:t>Huvudmannen</w:t>
      </w:r>
      <w:r w:rsidRPr="006930D4">
        <w:rPr>
          <w:rFonts w:ascii="ArialMT" w:hAnsi="ArialMT" w:cs="ArialMT"/>
          <w:szCs w:val="22"/>
        </w:rPr>
        <w:t>”).</w:t>
      </w:r>
    </w:p>
    <w:p w14:paraId="24CFDD8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57176F4" w14:textId="77777777" w:rsidR="00B34791" w:rsidRPr="003B4F2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3B4F28">
        <w:rPr>
          <w:rFonts w:ascii="Arial-BoldMT" w:hAnsi="Arial-BoldMT" w:cs="Arial-BoldMT"/>
          <w:b/>
          <w:bCs/>
          <w:color w:val="000000"/>
          <w:szCs w:val="22"/>
        </w:rPr>
        <w:t>Auktorisationssystemets omfattning</w:t>
      </w:r>
    </w:p>
    <w:p w14:paraId="7CED475A" w14:textId="77777777" w:rsidR="00B34791" w:rsidRPr="003B4F2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5D74A4C" w14:textId="77777777" w:rsidR="00B34791" w:rsidRPr="003B4F28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Dessa föreskrifter avser auktorisation för insamling </w:t>
      </w:r>
      <w:r w:rsidRPr="003B4F28">
        <w:rPr>
          <w:rFonts w:ascii="ArialMT" w:hAnsi="ArialMT" w:cs="ArialMT"/>
          <w:szCs w:val="22"/>
        </w:rPr>
        <w:t>och transport till</w:t>
      </w:r>
    </w:p>
    <w:p w14:paraId="1F4A102A" w14:textId="77777777" w:rsidR="00B34791" w:rsidRPr="00A21495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3B4F28">
        <w:rPr>
          <w:rFonts w:ascii="ArialMT" w:hAnsi="ArialMT" w:cs="ArialMT"/>
          <w:szCs w:val="22"/>
        </w:rPr>
        <w:t xml:space="preserve">behandling </w:t>
      </w:r>
      <w:r w:rsidRPr="00A21495">
        <w:rPr>
          <w:rFonts w:ascii="ArialMT" w:hAnsi="ArialMT" w:cs="ArialMT"/>
          <w:color w:val="000000"/>
          <w:szCs w:val="22"/>
        </w:rPr>
        <w:t>av ätlig olja eller liknande flytande ätligt fett (hädanefter kallat ”flytande matfett”) från verksamheter genom så kallad fastighetsnära insamling inom det geografiska område som finns angivet i bilaga 2.1 (”</w:t>
      </w:r>
      <w:r w:rsidRPr="00A21495">
        <w:rPr>
          <w:rFonts w:ascii="Arial-BoldMT" w:hAnsi="Arial-BoldMT" w:cs="Arial-BoldMT"/>
          <w:b/>
          <w:bCs/>
          <w:color w:val="000000"/>
          <w:szCs w:val="22"/>
        </w:rPr>
        <w:t>Området</w:t>
      </w:r>
      <w:r w:rsidRPr="00A21495">
        <w:rPr>
          <w:rFonts w:ascii="ArialMT" w:hAnsi="ArialMT" w:cs="ArialMT"/>
          <w:color w:val="000000"/>
          <w:szCs w:val="22"/>
        </w:rPr>
        <w:t>”).</w:t>
      </w:r>
    </w:p>
    <w:p w14:paraId="0A2AC78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A21495">
        <w:rPr>
          <w:rFonts w:ascii="ArialMT" w:hAnsi="ArialMT" w:cs="ArialMT"/>
          <w:color w:val="000000"/>
          <w:szCs w:val="22"/>
        </w:rPr>
        <w:t>Auktorisationen omfattar all fastighetsnära insamling hos verksamheter av flytande matfett</w:t>
      </w:r>
      <w:r>
        <w:rPr>
          <w:rFonts w:ascii="ArialMT" w:hAnsi="ArialMT" w:cs="ArialMT"/>
          <w:color w:val="000000"/>
          <w:szCs w:val="22"/>
        </w:rPr>
        <w:t xml:space="preserve"> inom Området. Antalet omfattade verksamheter kan förändras under auktorisationens giltighetstid. Den auktoriserade ska utföra tjänsterna i den i ansökan angivna omfattningen. Se </w:t>
      </w:r>
      <w:r w:rsidRPr="00A21495">
        <w:rPr>
          <w:rFonts w:ascii="ArialMT" w:hAnsi="ArialMT" w:cs="ArialMT"/>
          <w:color w:val="000000"/>
          <w:szCs w:val="22"/>
        </w:rPr>
        <w:t>närmare punkt 5.1.5 – 5.1.7 i Auktorisationsavtalet</w:t>
      </w:r>
      <w:r>
        <w:rPr>
          <w:rFonts w:ascii="ArialMT" w:hAnsi="ArialMT" w:cs="ArialMT"/>
          <w:color w:val="000000"/>
          <w:szCs w:val="22"/>
        </w:rPr>
        <w:t>.</w:t>
      </w:r>
    </w:p>
    <w:p w14:paraId="2636814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14097F52" w14:textId="77777777" w:rsidR="00B34791" w:rsidRPr="00512F9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12F93">
        <w:rPr>
          <w:rFonts w:ascii="Arial-BoldMT" w:hAnsi="Arial-BoldMT" w:cs="Arial-BoldMT"/>
          <w:b/>
          <w:bCs/>
          <w:color w:val="000000"/>
          <w:szCs w:val="22"/>
        </w:rPr>
        <w:t>Auktorisationssystemets giltighetstid</w:t>
      </w:r>
    </w:p>
    <w:p w14:paraId="4B66250F" w14:textId="77777777" w:rsidR="00B34791" w:rsidRPr="00D966B7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7865D9D3" w14:textId="59E08C5F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533910">
        <w:rPr>
          <w:rFonts w:ascii="ArialMT" w:hAnsi="ArialMT" w:cs="ArialMT"/>
          <w:color w:val="000000"/>
          <w:szCs w:val="22"/>
        </w:rPr>
        <w:t xml:space="preserve">Auktorisationssystemet är </w:t>
      </w:r>
      <w:r w:rsidRPr="00533910">
        <w:rPr>
          <w:rFonts w:ascii="ArialMT" w:hAnsi="ArialMT" w:cs="ArialMT"/>
          <w:szCs w:val="22"/>
        </w:rPr>
        <w:t xml:space="preserve">giltigt </w:t>
      </w:r>
      <w:proofErr w:type="gramStart"/>
      <w:r w:rsidRPr="00533910">
        <w:rPr>
          <w:rFonts w:ascii="ArialMT" w:hAnsi="ArialMT" w:cs="ArialMT"/>
          <w:szCs w:val="22"/>
        </w:rPr>
        <w:t>tillsvidare</w:t>
      </w:r>
      <w:proofErr w:type="gramEnd"/>
      <w:r w:rsidRPr="00533910">
        <w:rPr>
          <w:rFonts w:ascii="ArialMT" w:hAnsi="ArialMT" w:cs="ArialMT"/>
          <w:szCs w:val="22"/>
        </w:rPr>
        <w:t>.</w:t>
      </w:r>
      <w:r w:rsidR="00533910">
        <w:rPr>
          <w:rFonts w:ascii="ArialMT" w:hAnsi="ArialMT" w:cs="ArialMT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 xml:space="preserve">Auktorisationssystemet upphör att </w:t>
      </w:r>
      <w:r w:rsidRPr="00BD24A0">
        <w:rPr>
          <w:rFonts w:ascii="ArialMT" w:hAnsi="ArialMT" w:cs="ArialMT"/>
          <w:szCs w:val="22"/>
        </w:rPr>
        <w:t xml:space="preserve">gälla </w:t>
      </w:r>
      <w:r w:rsidRPr="008A55A4">
        <w:rPr>
          <w:rFonts w:ascii="ArialMT" w:hAnsi="ArialMT" w:cs="ArialMT"/>
          <w:szCs w:val="22"/>
        </w:rPr>
        <w:t>sex</w:t>
      </w:r>
      <w:r w:rsidRPr="00BD24A0">
        <w:rPr>
          <w:rFonts w:ascii="ArialMT" w:hAnsi="ArialMT" w:cs="ArialMT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månader efter att Huvudmannen</w:t>
      </w:r>
      <w:r w:rsidR="00533910">
        <w:rPr>
          <w:rFonts w:ascii="ArialMT" w:hAnsi="ArialMT" w:cs="ArialMT"/>
          <w:color w:val="000000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har meddelat om sådant upphörande.</w:t>
      </w:r>
    </w:p>
    <w:p w14:paraId="3B8778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</w:p>
    <w:p w14:paraId="5736C9E1" w14:textId="77777777" w:rsidR="00B34791" w:rsidRPr="00512F9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12F93">
        <w:rPr>
          <w:rFonts w:ascii="Arial-BoldMT" w:hAnsi="Arial-BoldMT" w:cs="Arial-BoldMT"/>
          <w:b/>
          <w:bCs/>
          <w:color w:val="000000"/>
          <w:szCs w:val="22"/>
        </w:rPr>
        <w:t>Avtalstid</w:t>
      </w:r>
    </w:p>
    <w:p w14:paraId="6BEB95E7" w14:textId="77777777" w:rsidR="00B34791" w:rsidRPr="00512F9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7E29E9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Auktorisationen träder i kraft när Huvudmannen har godkänt den auktoriserade</w:t>
      </w:r>
    </w:p>
    <w:p w14:paraId="5BEB522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och undertecknat Auktorisationsavtalet. Auktorisationsavtalet gäller därefter</w:t>
      </w:r>
    </w:p>
    <w:p w14:paraId="2D570224" w14:textId="1675ECF5" w:rsidR="00B34791" w:rsidRDefault="00B34791" w:rsidP="00533910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  <w:proofErr w:type="gramStart"/>
      <w:r w:rsidRPr="00533910">
        <w:rPr>
          <w:rFonts w:ascii="ArialMT" w:hAnsi="ArialMT" w:cs="ArialMT"/>
          <w:szCs w:val="22"/>
        </w:rPr>
        <w:t>tillsvidare</w:t>
      </w:r>
      <w:proofErr w:type="gramEnd"/>
      <w:r w:rsidRPr="00533910">
        <w:rPr>
          <w:rFonts w:ascii="ArialMT" w:hAnsi="ArialMT" w:cs="ArialMT"/>
          <w:szCs w:val="22"/>
        </w:rPr>
        <w:t>.</w:t>
      </w:r>
    </w:p>
    <w:p w14:paraId="0B89F696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i/>
          <w:iCs/>
          <w:color w:val="FF0000"/>
          <w:szCs w:val="22"/>
        </w:rPr>
      </w:pPr>
    </w:p>
    <w:p w14:paraId="46C58766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ADMINISTRATIVA FÖRESKRIFTER</w:t>
      </w:r>
    </w:p>
    <w:p w14:paraId="22E822A8" w14:textId="77777777" w:rsidR="00B34791" w:rsidRPr="00EB0CED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E864F43" w14:textId="77777777" w:rsidR="00B34791" w:rsidRPr="00557E4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57E43">
        <w:rPr>
          <w:rFonts w:ascii="Arial-BoldMT" w:hAnsi="Arial-BoldMT" w:cs="Arial-BoldMT"/>
          <w:b/>
          <w:bCs/>
          <w:color w:val="000000"/>
          <w:szCs w:val="22"/>
        </w:rPr>
        <w:t>Auktorisationsförfarande</w:t>
      </w:r>
    </w:p>
    <w:p w14:paraId="419B9B13" w14:textId="77777777" w:rsidR="00B34791" w:rsidRPr="00557E4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09990AA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Förfarandet omfattar ett auktorisationssystem och är undantaget från reglerna</w:t>
      </w:r>
    </w:p>
    <w:p w14:paraId="4F3AB84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om offentlig upphandling.</w:t>
      </w:r>
    </w:p>
    <w:p w14:paraId="1ABD6A0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F99FC70" w14:textId="77777777" w:rsidR="00B34791" w:rsidRPr="00557E43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557E43">
        <w:rPr>
          <w:rFonts w:ascii="Arial-BoldMT" w:hAnsi="Arial-BoldMT" w:cs="Arial-BoldMT"/>
          <w:b/>
          <w:bCs/>
          <w:color w:val="000000"/>
          <w:szCs w:val="22"/>
        </w:rPr>
        <w:t>Förteckning över dokument</w:t>
      </w:r>
    </w:p>
    <w:p w14:paraId="017649BB" w14:textId="77777777" w:rsidR="00B34791" w:rsidRPr="00557E43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31F733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Auktorisationsdokumentet består av följande handlingar.</w:t>
      </w:r>
    </w:p>
    <w:p w14:paraId="738FA5E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Administrativa föreskrifter (detta dokument)</w:t>
      </w:r>
    </w:p>
    <w:p w14:paraId="68DD351F" w14:textId="49779483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Bilaga 1 Ansökningsformulär</w:t>
      </w:r>
    </w:p>
    <w:p w14:paraId="094BDB87" w14:textId="095EE34B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Bilaga 2 Auktorisationsavtal</w:t>
      </w:r>
    </w:p>
    <w:p w14:paraId="3E3187C9" w14:textId="696BC7D9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Bilaga 2.1 Området</w:t>
      </w:r>
    </w:p>
    <w:p w14:paraId="0D32F746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A21495">
        <w:rPr>
          <w:rFonts w:ascii="SymbolMT" w:hAnsi="SymbolMT" w:cs="SymbolMT"/>
          <w:color w:val="000000"/>
          <w:szCs w:val="22"/>
        </w:rPr>
        <w:t xml:space="preserve">- </w:t>
      </w:r>
      <w:r w:rsidRPr="00A21495">
        <w:rPr>
          <w:rFonts w:ascii="ArialMT" w:hAnsi="ArialMT" w:cs="ArialMT"/>
          <w:color w:val="000000"/>
          <w:szCs w:val="22"/>
        </w:rPr>
        <w:t>Bilaga 2.2 Avfallsföreskrifter</w:t>
      </w:r>
    </w:p>
    <w:p w14:paraId="74438BBF" w14:textId="7E87F21B" w:rsidR="00A94058" w:rsidRDefault="00A94058" w:rsidP="00A94058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- Bilaga </w:t>
      </w:r>
      <w:r w:rsidR="00381481">
        <w:rPr>
          <w:rFonts w:ascii="ArialMT" w:hAnsi="ArialMT" w:cs="ArialMT"/>
          <w:color w:val="000000"/>
          <w:szCs w:val="22"/>
        </w:rPr>
        <w:t>3</w:t>
      </w:r>
      <w:r>
        <w:rPr>
          <w:rFonts w:ascii="ArialMT" w:hAnsi="ArialMT" w:cs="ArialMT"/>
          <w:color w:val="000000"/>
          <w:szCs w:val="22"/>
        </w:rPr>
        <w:t xml:space="preserve"> Begäran om sekretess</w:t>
      </w:r>
    </w:p>
    <w:p w14:paraId="7744F65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BAA82FA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Ansökans form och innehåll</w:t>
      </w:r>
    </w:p>
    <w:p w14:paraId="476F8CE8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1D7D8330" w14:textId="71A11F99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Ansökan om auktorisation ska lämnas elektroniskt via </w:t>
      </w:r>
      <w:r w:rsidR="008A55A4">
        <w:rPr>
          <w:rFonts w:ascii="ArialMT" w:hAnsi="ArialMT" w:cs="ArialMT"/>
          <w:color w:val="000000"/>
          <w:szCs w:val="22"/>
        </w:rPr>
        <w:t>E-</w:t>
      </w:r>
      <w:r>
        <w:rPr>
          <w:rFonts w:ascii="ArialMT" w:hAnsi="ArialMT" w:cs="ArialMT"/>
          <w:color w:val="000000"/>
          <w:szCs w:val="22"/>
        </w:rPr>
        <w:t>avrop.</w:t>
      </w:r>
    </w:p>
    <w:p w14:paraId="731E994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utformas i enlighet med kraven i detta dokument och innehålla</w:t>
      </w:r>
    </w:p>
    <w:p w14:paraId="77EB5EF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samtliga de uppgifter och handlingar som efterfråga</w:t>
      </w:r>
      <w:r w:rsidRPr="00A21495">
        <w:rPr>
          <w:rFonts w:ascii="ArialMT" w:hAnsi="ArialMT" w:cs="ArialMT"/>
          <w:color w:val="000000"/>
          <w:szCs w:val="22"/>
        </w:rPr>
        <w:t>s i bilaga 1.</w:t>
      </w:r>
    </w:p>
    <w:p w14:paraId="1BA7BEE5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Ansökningsformuläret ska undertecknas av behörig företrädare för ansökaren.</w:t>
      </w:r>
    </w:p>
    <w:p w14:paraId="0D53067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lastRenderedPageBreak/>
        <w:t>Behörigheten ska på Huvudmannens begäran kunna styrkas, exempelvis med</w:t>
      </w:r>
    </w:p>
    <w:p w14:paraId="452C1B0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bevis avseende firmateckning eller skriftlig fullmakt.</w:t>
      </w:r>
    </w:p>
    <w:p w14:paraId="4816024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vara författad på svenska. Bevis, enstaka ord och förkortningar får</w:t>
      </w:r>
    </w:p>
    <w:p w14:paraId="0F617D9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vara på engelska, norska eller danska.</w:t>
      </w:r>
    </w:p>
    <w:p w14:paraId="2A1BB4A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03EDC68E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Ansökningstidens utgång</w:t>
      </w:r>
    </w:p>
    <w:p w14:paraId="53E6FA4B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5F1CFEB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ska vara Huvudmannen tillhanda under auktorisationssystemets</w:t>
      </w:r>
    </w:p>
    <w:p w14:paraId="76657D4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giltighetstid.</w:t>
      </w:r>
    </w:p>
    <w:p w14:paraId="2E84578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61F83C8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Ansökans giltighet</w:t>
      </w:r>
    </w:p>
    <w:p w14:paraId="220F550B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13E421D" w14:textId="1E11CCFD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 ska vara bunden av sin </w:t>
      </w:r>
      <w:r w:rsidRPr="0037705C">
        <w:rPr>
          <w:rFonts w:ascii="ArialMT" w:hAnsi="ArialMT" w:cs="ArialMT"/>
          <w:szCs w:val="22"/>
        </w:rPr>
        <w:t xml:space="preserve">ansökan i fyra månader </w:t>
      </w:r>
      <w:r>
        <w:rPr>
          <w:rFonts w:ascii="ArialMT" w:hAnsi="ArialMT" w:cs="ArialMT"/>
          <w:color w:val="000000"/>
          <w:szCs w:val="22"/>
        </w:rPr>
        <w:t>efter inlämnande av</w:t>
      </w:r>
    </w:p>
    <w:p w14:paraId="0C7B387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ansökan.</w:t>
      </w:r>
    </w:p>
    <w:p w14:paraId="6E30FBB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835DCA5" w14:textId="77777777" w:rsidR="00B34791" w:rsidRPr="00917455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17455">
        <w:rPr>
          <w:rFonts w:ascii="Arial-BoldMT" w:hAnsi="Arial-BoldMT" w:cs="Arial-BoldMT"/>
          <w:b/>
          <w:bCs/>
          <w:color w:val="000000"/>
          <w:szCs w:val="22"/>
        </w:rPr>
        <w:t>Sekretess</w:t>
      </w:r>
    </w:p>
    <w:p w14:paraId="755E8A44" w14:textId="77777777" w:rsidR="00B34791" w:rsidRPr="00917455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6EB5B3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Huvudregeln är att uppgifter i ansökningar och övriga handlingar är offentliga.</w:t>
      </w:r>
    </w:p>
    <w:p w14:paraId="4E1771B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Önskar ansökaren att en viss uppgift eller vissa uppgifter i ansökan ska</w:t>
      </w:r>
    </w:p>
    <w:p w14:paraId="747396A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sekretessbeläggas ska ansökaren i ansökan ange vilken eller vilka uppgifter som</w:t>
      </w:r>
    </w:p>
    <w:p w14:paraId="1166B46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ska sekretessbeläggas samt skälen för det. Om </w:t>
      </w:r>
      <w:proofErr w:type="gramStart"/>
      <w:r>
        <w:rPr>
          <w:rFonts w:ascii="ArialMT" w:hAnsi="ArialMT" w:cs="ArialMT"/>
          <w:color w:val="000000"/>
          <w:szCs w:val="22"/>
        </w:rPr>
        <w:t>en utomstående begär</w:t>
      </w:r>
      <w:proofErr w:type="gramEnd"/>
      <w:r>
        <w:rPr>
          <w:rFonts w:ascii="ArialMT" w:hAnsi="ArialMT" w:cs="ArialMT"/>
          <w:color w:val="000000"/>
          <w:szCs w:val="22"/>
        </w:rPr>
        <w:t xml:space="preserve"> att få ta</w:t>
      </w:r>
    </w:p>
    <w:p w14:paraId="2C24588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del av en handling prövar Huvudmannen om uppgifter i handlingen kan lämnas</w:t>
      </w:r>
    </w:p>
    <w:p w14:paraId="0965A70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ut enligt reglerna i offentlighets- och sekretesslagen (2009:400). </w:t>
      </w:r>
      <w:proofErr w:type="gramStart"/>
      <w:r>
        <w:rPr>
          <w:rFonts w:ascii="ArialMT" w:hAnsi="ArialMT" w:cs="ArialMT"/>
          <w:color w:val="000000"/>
          <w:szCs w:val="22"/>
        </w:rPr>
        <w:t>Den uppfattning</w:t>
      </w:r>
      <w:proofErr w:type="gramEnd"/>
    </w:p>
    <w:p w14:paraId="1BC4E1C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om sekretess som ansökaren har redovisat i ansökan ingår i underlaget för</w:t>
      </w:r>
    </w:p>
    <w:p w14:paraId="6B155D6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Huvudmannens bedömning men binder inte Huvudmannen. Ytterst avgörs</w:t>
      </w:r>
    </w:p>
    <w:p w14:paraId="2DAD7D1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frågan om sekretess av domstol.</w:t>
      </w:r>
    </w:p>
    <w:p w14:paraId="73A5474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26AD54A7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PRÖVNING AV ANSÖKAREN</w:t>
      </w:r>
    </w:p>
    <w:p w14:paraId="629551EC" w14:textId="77777777" w:rsidR="00B34791" w:rsidRPr="00EB0CED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4D2B075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För att bli auktoriserad ska ansökaren uppfylla de krav som framgår av detta</w:t>
      </w:r>
    </w:p>
    <w:p w14:paraId="06C4A890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 w:rsidRPr="007A5E7B">
        <w:rPr>
          <w:rFonts w:ascii="ArialMT" w:hAnsi="ArialMT" w:cs="ArialMT"/>
          <w:color w:val="000000"/>
          <w:szCs w:val="22"/>
        </w:rPr>
        <w:t>avsnitt 3.</w:t>
      </w:r>
    </w:p>
    <w:p w14:paraId="418352A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6060523" w14:textId="77777777" w:rsidR="00B34791" w:rsidRPr="0092699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26998">
        <w:rPr>
          <w:rFonts w:ascii="Arial-BoldMT" w:hAnsi="Arial-BoldMT" w:cs="Arial-BoldMT"/>
          <w:b/>
          <w:bCs/>
          <w:color w:val="000000"/>
          <w:szCs w:val="22"/>
        </w:rPr>
        <w:t>Lämplighet</w:t>
      </w:r>
    </w:p>
    <w:p w14:paraId="10000C53" w14:textId="77777777" w:rsidR="00B34791" w:rsidRPr="0092699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6CE58240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En person som ingår i ansökarens förvaltnings-, lednings- eller kontrollorgan får</w:t>
      </w:r>
    </w:p>
    <w:p w14:paraId="3BC2B0A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inte ha begått något av de brott som framgår av punkt 1 – 6 i 13 kap. 1 § lagen</w:t>
      </w:r>
    </w:p>
    <w:p w14:paraId="36FF198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(2016:1145) om offentlig upphandling (LOU).</w:t>
      </w:r>
    </w:p>
    <w:p w14:paraId="738358B6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får inte omfattas av någon av de omständigheter som framgår av</w:t>
      </w:r>
    </w:p>
    <w:p w14:paraId="10EF23F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punkt 1 – 5 och 9 i 13 kap. 3 § LOU. Huvudmannen kommer, i den mån det är</w:t>
      </w:r>
    </w:p>
    <w:p w14:paraId="4142CF0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möjligt, att kontrollera detta genom Bolagsverkets register.</w:t>
      </w:r>
    </w:p>
    <w:p w14:paraId="2E77A5B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3F1D5BF6" w14:textId="77777777" w:rsidR="00B34791" w:rsidRPr="00926998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926998">
        <w:rPr>
          <w:rFonts w:ascii="Arial-BoldMT" w:hAnsi="Arial-BoldMT" w:cs="Arial-BoldMT"/>
          <w:b/>
          <w:bCs/>
          <w:color w:val="000000"/>
          <w:szCs w:val="22"/>
        </w:rPr>
        <w:t>Skatter och avgifter</w:t>
      </w:r>
    </w:p>
    <w:p w14:paraId="645DB738" w14:textId="77777777" w:rsidR="00B34791" w:rsidRPr="00926998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7A4ACAC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ha fullgjort sina skyldigheter avseende betalning av skatter och</w:t>
      </w:r>
    </w:p>
    <w:p w14:paraId="2252935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socialförsäkringsavgifter.</w:t>
      </w:r>
    </w:p>
    <w:p w14:paraId="54EBDA2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Huvudmannen kommer att kontrollera detta genom kontroll hos Skatteverket och</w:t>
      </w:r>
    </w:p>
    <w:p w14:paraId="771D110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Kronofogdemyndigheten. Om Huvudmannen genom Skatteverket och</w:t>
      </w:r>
    </w:p>
    <w:p w14:paraId="312384A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Kronofogden inte får tillgång till relevanta uppgifter – exempelvis om ansökaren</w:t>
      </w:r>
    </w:p>
    <w:p w14:paraId="3AA5A4CF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är utländsk och skyldig att betala skatter och socialförsäkringsavgifter i annat</w:t>
      </w:r>
    </w:p>
    <w:p w14:paraId="7FB0695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land än Sverige – ska ansökaren på Huvudmannens begäran inkomma med</w:t>
      </w:r>
    </w:p>
    <w:p w14:paraId="2DC748F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sådana uppgifter.</w:t>
      </w:r>
    </w:p>
    <w:p w14:paraId="5147E5E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4E4BC082" w14:textId="77777777" w:rsidR="00B34791" w:rsidRPr="0075545A" w:rsidRDefault="00B34791" w:rsidP="00B34791">
      <w:pPr>
        <w:pStyle w:val="Liststycke"/>
        <w:numPr>
          <w:ilvl w:val="1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75545A">
        <w:rPr>
          <w:rFonts w:ascii="Arial-BoldMT" w:hAnsi="Arial-BoldMT" w:cs="Arial-BoldMT"/>
          <w:b/>
          <w:bCs/>
          <w:color w:val="000000"/>
          <w:szCs w:val="22"/>
        </w:rPr>
        <w:t>Ekonomisk ställning</w:t>
      </w:r>
    </w:p>
    <w:p w14:paraId="4B252327" w14:textId="77777777" w:rsidR="00B34791" w:rsidRPr="0075545A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6AC2668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ha tillräckligt god ekonomisk ställning för att utföra uppdraget</w:t>
      </w:r>
    </w:p>
    <w:p w14:paraId="3EE467AB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lastRenderedPageBreak/>
        <w:t>enligt Auktorisationsavtalet. Ansökaren anses ha en tillräckligt god ekonomisk</w:t>
      </w:r>
    </w:p>
    <w:p w14:paraId="5B69D30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ställning om den uppfyller nedanstående krav.</w:t>
      </w:r>
    </w:p>
    <w:p w14:paraId="05D281F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77D01427" w14:textId="77777777" w:rsidR="00B34791" w:rsidRPr="00182A03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ItalicMT" w:hAnsi="Arial-ItalicMT" w:cs="Arial-ItalicMT"/>
          <w:color w:val="000000"/>
          <w:szCs w:val="22"/>
        </w:rPr>
      </w:pPr>
      <w:r w:rsidRPr="00182A03">
        <w:rPr>
          <w:rFonts w:ascii="ArialMT" w:hAnsi="ArialMT" w:cs="ArialMT"/>
          <w:color w:val="000000"/>
          <w:szCs w:val="22"/>
        </w:rPr>
        <w:t xml:space="preserve">3.3.1 </w:t>
      </w:r>
      <w:r w:rsidRPr="00182A03">
        <w:rPr>
          <w:rFonts w:ascii="Arial-ItalicMT" w:hAnsi="Arial-ItalicMT" w:cs="Arial-ItalicMT"/>
          <w:color w:val="000000"/>
          <w:szCs w:val="22"/>
        </w:rPr>
        <w:t>Kreditvärdighet</w:t>
      </w:r>
    </w:p>
    <w:p w14:paraId="24E7493F" w14:textId="155E1BDA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Ansökaren ska ha en </w:t>
      </w:r>
      <w:proofErr w:type="spellStart"/>
      <w:r>
        <w:rPr>
          <w:rFonts w:ascii="ArialMT" w:hAnsi="ArialMT" w:cs="ArialMT"/>
          <w:color w:val="000000"/>
          <w:szCs w:val="22"/>
        </w:rPr>
        <w:t>riskklassificering</w:t>
      </w:r>
      <w:proofErr w:type="spellEnd"/>
      <w:r>
        <w:rPr>
          <w:rFonts w:ascii="ArialMT" w:hAnsi="ArialMT" w:cs="ArialMT"/>
          <w:color w:val="000000"/>
          <w:szCs w:val="22"/>
        </w:rPr>
        <w:t>/rating enligt affärs- och</w:t>
      </w:r>
      <w:r w:rsidR="00533910">
        <w:rPr>
          <w:rFonts w:ascii="ArialMT" w:hAnsi="ArialMT" w:cs="ArialMT"/>
          <w:color w:val="000000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Kreditupplysningsföretaget UC som inte understiger</w:t>
      </w:r>
      <w:r w:rsidR="00533910">
        <w:rPr>
          <w:rFonts w:ascii="ArialMT" w:hAnsi="ArialMT" w:cs="ArialMT"/>
          <w:color w:val="000000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riskkla</w:t>
      </w:r>
      <w:r w:rsidRPr="00ED1D1C">
        <w:rPr>
          <w:rFonts w:ascii="ArialMT" w:hAnsi="ArialMT" w:cs="ArialMT"/>
          <w:color w:val="000000"/>
          <w:szCs w:val="22"/>
        </w:rPr>
        <w:t xml:space="preserve">ss </w:t>
      </w:r>
      <w:r w:rsidRPr="00ED1D1C">
        <w:rPr>
          <w:rFonts w:ascii="ArialMT" w:hAnsi="ArialMT" w:cs="ArialMT"/>
          <w:szCs w:val="22"/>
        </w:rPr>
        <w:t>3.</w:t>
      </w:r>
      <w:r>
        <w:rPr>
          <w:rFonts w:ascii="ArialMT" w:hAnsi="ArialMT" w:cs="ArialMT"/>
          <w:color w:val="000000"/>
          <w:szCs w:val="22"/>
        </w:rPr>
        <w:t xml:space="preserve"> Kontroll mot </w:t>
      </w:r>
      <w:r w:rsidRPr="007F2110">
        <w:rPr>
          <w:rFonts w:ascii="ArialMT" w:hAnsi="ArialMT" w:cs="ArialMT"/>
          <w:szCs w:val="22"/>
        </w:rPr>
        <w:t xml:space="preserve">UC </w:t>
      </w:r>
      <w:r>
        <w:rPr>
          <w:rFonts w:ascii="ArialMT" w:hAnsi="ArialMT" w:cs="ArialMT"/>
          <w:color w:val="000000"/>
          <w:szCs w:val="22"/>
        </w:rPr>
        <w:t>kommer att göras av</w:t>
      </w:r>
      <w:r w:rsidR="00533910">
        <w:rPr>
          <w:rFonts w:ascii="ArialMT" w:hAnsi="ArialMT" w:cs="ArialMT"/>
          <w:color w:val="000000"/>
          <w:szCs w:val="22"/>
        </w:rPr>
        <w:t xml:space="preserve"> </w:t>
      </w:r>
      <w:r>
        <w:rPr>
          <w:rFonts w:ascii="ArialMT" w:hAnsi="ArialMT" w:cs="ArialMT"/>
          <w:color w:val="000000"/>
          <w:szCs w:val="22"/>
        </w:rPr>
        <w:t>Huvudmannen.</w:t>
      </w:r>
    </w:p>
    <w:p w14:paraId="57F1BF2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05DE2F2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>
        <w:rPr>
          <w:rFonts w:ascii="Arial-BoldMT" w:hAnsi="Arial-BoldMT" w:cs="Arial-BoldMT"/>
          <w:b/>
          <w:bCs/>
          <w:color w:val="000000"/>
          <w:szCs w:val="22"/>
        </w:rPr>
        <w:t>3.4 Kompetens och erfarenhet</w:t>
      </w:r>
    </w:p>
    <w:p w14:paraId="37C41363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Ansökaren ska ha tillräcklig kompetens och erfarenhet för att utföra </w:t>
      </w:r>
      <w:proofErr w:type="gramStart"/>
      <w:r>
        <w:rPr>
          <w:rFonts w:ascii="ArialMT" w:hAnsi="ArialMT" w:cs="ArialMT"/>
          <w:color w:val="000000"/>
          <w:szCs w:val="22"/>
        </w:rPr>
        <w:t>de tjänster</w:t>
      </w:r>
      <w:proofErr w:type="gramEnd"/>
    </w:p>
    <w:p w14:paraId="78287F1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som är föremål för auktorisationen. Som bevis för att ansökaren har detta ska</w:t>
      </w:r>
    </w:p>
    <w:p w14:paraId="44A17B5D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i ansökan ange en referensförteckning över minst två utförda</w:t>
      </w:r>
    </w:p>
    <w:p w14:paraId="02067422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referensuppdrag.</w:t>
      </w:r>
    </w:p>
    <w:p w14:paraId="4CA1EB8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Referensuppdragen ska</w:t>
      </w:r>
    </w:p>
    <w:p w14:paraId="7AD6910F" w14:textId="3E1A6D46" w:rsidR="00B34791" w:rsidRPr="00D966B7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 xml:space="preserve">ha avsett </w:t>
      </w:r>
      <w:r w:rsidRPr="00D966B7">
        <w:rPr>
          <w:rFonts w:ascii="ArialMT" w:hAnsi="ArialMT" w:cs="ArialMT"/>
          <w:szCs w:val="22"/>
        </w:rPr>
        <w:t xml:space="preserve">fastighetsnära insamling </w:t>
      </w:r>
      <w:r w:rsidRPr="0037705C">
        <w:rPr>
          <w:rFonts w:ascii="ArialMT" w:hAnsi="ArialMT" w:cs="ArialMT"/>
          <w:szCs w:val="22"/>
        </w:rPr>
        <w:t>av flytande matfett</w:t>
      </w:r>
      <w:r w:rsidRPr="00D966B7">
        <w:rPr>
          <w:rFonts w:ascii="ArialMT" w:hAnsi="ArialMT" w:cs="ArialMT"/>
          <w:szCs w:val="22"/>
        </w:rPr>
        <w:t xml:space="preserve"> alternativt annan</w:t>
      </w:r>
    </w:p>
    <w:p w14:paraId="1487E191" w14:textId="16DEE99A" w:rsidR="00B34791" w:rsidRPr="00D966B7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 w:rsidRPr="00D966B7">
        <w:rPr>
          <w:rFonts w:ascii="ArialMT" w:hAnsi="ArialMT" w:cs="ArialMT"/>
          <w:szCs w:val="22"/>
        </w:rPr>
        <w:t>insamling som är relevant,</w:t>
      </w:r>
    </w:p>
    <w:p w14:paraId="55845EBE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till någon del ha utförts under de senaste tre åren, räknat från den dag då</w:t>
      </w:r>
    </w:p>
    <w:p w14:paraId="523381A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ansökan lämnas in, och</w:t>
      </w:r>
    </w:p>
    <w:p w14:paraId="1D00D8D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SymbolMT" w:hAnsi="SymbolMT" w:cs="SymbolMT"/>
          <w:color w:val="000000"/>
          <w:szCs w:val="22"/>
        </w:rPr>
        <w:t xml:space="preserve">- </w:t>
      </w:r>
      <w:r>
        <w:rPr>
          <w:rFonts w:ascii="ArialMT" w:hAnsi="ArialMT" w:cs="ArialMT"/>
          <w:color w:val="000000"/>
          <w:szCs w:val="22"/>
        </w:rPr>
        <w:t>ha utförts avtalsenligt.</w:t>
      </w:r>
    </w:p>
    <w:p w14:paraId="448B009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i ansökan ange kontaktuppgifter till en kontaktperson hos</w:t>
      </w:r>
    </w:p>
    <w:p w14:paraId="23A2E7A4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beställaren av respektive referensuppdrag. Huvudmannen kan komma att</w:t>
      </w:r>
    </w:p>
    <w:p w14:paraId="3B9D544C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kontakta kontaktpersonerna för att verifiera att lämnade uppgifter är korrekta och</w:t>
      </w:r>
    </w:p>
    <w:p w14:paraId="1DB7B9A9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att referensuppdragen uppfyller ovanstående krav.</w:t>
      </w:r>
    </w:p>
    <w:p w14:paraId="2C5A37E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1C1F528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>
        <w:rPr>
          <w:rFonts w:ascii="Arial-BoldMT" w:hAnsi="Arial-BoldMT" w:cs="Arial-BoldMT"/>
          <w:b/>
          <w:bCs/>
          <w:color w:val="000000"/>
          <w:szCs w:val="22"/>
        </w:rPr>
        <w:t>3.5 Åberopande av annat företags kapacitet</w:t>
      </w:r>
    </w:p>
    <w:p w14:paraId="78AE45C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En ansökare som inte själv uppfyller krav avseende ekonomisk och finansiell</w:t>
      </w:r>
    </w:p>
    <w:p w14:paraId="50B70435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ställning eller kompetens och erfarenhet får åberopa annans kapacitet.</w:t>
      </w:r>
    </w:p>
    <w:p w14:paraId="18295247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Ansökaren ska då till ansökan bifoga motsvarande bevis som krävs avseende</w:t>
      </w:r>
    </w:p>
    <w:p w14:paraId="04462C4A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den vars kapacitet åberopas. Huvudmannen kommer att kontrollera om den vars</w:t>
      </w:r>
    </w:p>
    <w:p w14:paraId="131DB2BB" w14:textId="1F9E6E5F" w:rsidR="00B34791" w:rsidRPr="00ED1D1C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ekonomiska kapacitet åberopas uppfyller kravet på </w:t>
      </w:r>
      <w:proofErr w:type="spellStart"/>
      <w:r>
        <w:rPr>
          <w:rFonts w:ascii="ArialMT" w:hAnsi="ArialMT" w:cs="ArialMT"/>
          <w:color w:val="000000"/>
          <w:szCs w:val="22"/>
        </w:rPr>
        <w:t>riskklassificering</w:t>
      </w:r>
      <w:proofErr w:type="spellEnd"/>
      <w:r>
        <w:rPr>
          <w:rFonts w:ascii="ArialMT" w:hAnsi="ArialMT" w:cs="ArialMT"/>
          <w:color w:val="000000"/>
          <w:szCs w:val="22"/>
        </w:rPr>
        <w:t xml:space="preserve"> om minst </w:t>
      </w:r>
      <w:r w:rsidRPr="00ED1D1C">
        <w:rPr>
          <w:rFonts w:ascii="ArialMT" w:hAnsi="ArialMT" w:cs="ArialMT"/>
          <w:szCs w:val="22"/>
        </w:rPr>
        <w:t>3</w:t>
      </w:r>
    </w:p>
    <w:p w14:paraId="755E6AF9" w14:textId="5026EB8C" w:rsidR="00B34791" w:rsidRPr="00ED1D1C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szCs w:val="22"/>
        </w:rPr>
      </w:pPr>
      <w:r w:rsidRPr="00ED1D1C">
        <w:rPr>
          <w:rFonts w:ascii="ArialMT" w:hAnsi="ArialMT" w:cs="ArialMT"/>
          <w:szCs w:val="22"/>
        </w:rPr>
        <w:t>hos UC.</w:t>
      </w:r>
    </w:p>
    <w:p w14:paraId="423AD7C1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6673E65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0758B901" w14:textId="77777777" w:rsidR="00B34791" w:rsidRPr="00EB0CED" w:rsidRDefault="00B34791" w:rsidP="00B34791">
      <w:pPr>
        <w:pStyle w:val="Liststycke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left"/>
        <w:rPr>
          <w:rFonts w:ascii="Arial-BoldMT" w:hAnsi="Arial-BoldMT" w:cs="Arial-BoldMT"/>
          <w:b/>
          <w:bCs/>
          <w:color w:val="000000"/>
          <w:szCs w:val="22"/>
        </w:rPr>
      </w:pPr>
      <w:r w:rsidRPr="00EB0CED">
        <w:rPr>
          <w:rFonts w:ascii="Arial-BoldMT" w:hAnsi="Arial-BoldMT" w:cs="Arial-BoldMT"/>
          <w:b/>
          <w:bCs/>
          <w:color w:val="000000"/>
          <w:szCs w:val="22"/>
        </w:rPr>
        <w:t>TILLDELNING AV AUKTORISATION</w:t>
      </w:r>
    </w:p>
    <w:p w14:paraId="71BE1894" w14:textId="77777777" w:rsidR="00B34791" w:rsidRPr="00EB0CED" w:rsidRDefault="00B34791" w:rsidP="00B34791">
      <w:pPr>
        <w:pStyle w:val="Liststycke"/>
        <w:autoSpaceDE w:val="0"/>
        <w:autoSpaceDN w:val="0"/>
        <w:adjustRightInd w:val="0"/>
        <w:spacing w:before="0" w:after="0" w:line="240" w:lineRule="auto"/>
        <w:ind w:left="360"/>
        <w:jc w:val="left"/>
        <w:rPr>
          <w:rFonts w:ascii="Arial-BoldMT" w:hAnsi="Arial-BoldMT" w:cs="Arial-BoldMT"/>
          <w:b/>
          <w:bCs/>
          <w:color w:val="000000"/>
          <w:szCs w:val="22"/>
        </w:rPr>
      </w:pPr>
    </w:p>
    <w:p w14:paraId="24C1CEF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>Ansökare som uppfyller de obligatoriska kraven kommer att tilldelas auktorisation.</w:t>
      </w:r>
    </w:p>
    <w:p w14:paraId="3A2DB478" w14:textId="77777777" w:rsidR="00B34791" w:rsidRDefault="00B34791" w:rsidP="00B34791">
      <w:pPr>
        <w:autoSpaceDE w:val="0"/>
        <w:autoSpaceDN w:val="0"/>
        <w:adjustRightInd w:val="0"/>
        <w:spacing w:before="0" w:after="0" w:line="240" w:lineRule="auto"/>
        <w:jc w:val="left"/>
        <w:rPr>
          <w:rFonts w:ascii="ArialMT" w:hAnsi="ArialMT" w:cs="ArialMT"/>
          <w:color w:val="000000"/>
          <w:szCs w:val="22"/>
        </w:rPr>
      </w:pPr>
    </w:p>
    <w:p w14:paraId="535500D7" w14:textId="77777777" w:rsidR="0055795C" w:rsidRDefault="0055795C"/>
    <w:sectPr w:rsidR="005579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-Italic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46F2E"/>
    <w:multiLevelType w:val="multilevel"/>
    <w:tmpl w:val="083A11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7981341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avrop1" w:val="Upp_Form"/>
    <w:docVar w:name="eavrop10" w:val="Upp_HeltDelat"/>
    <w:docVar w:name="eavrop11" w:val="Upp_AvtalsForm"/>
    <w:docVar w:name="eavrop12" w:val="Upp_FornyadGrans"/>
    <w:docVar w:name="eavrop13" w:val="Upp_Information"/>
    <w:docVar w:name="eavrop14" w:val="Upp_Samordnad"/>
    <w:docVar w:name="eavrop15" w:val="Org_Namn"/>
    <w:docVar w:name="eavrop16" w:val="Org_Adress"/>
    <w:docVar w:name="eavrop17" w:val="Org_Postadress"/>
    <w:docVar w:name="eavrop18" w:val="Org_Ort"/>
    <w:docVar w:name="eavrop19" w:val="Org_Tel"/>
    <w:docVar w:name="eavrop2" w:val="Upp_Kategori"/>
    <w:docVar w:name="eavrop20" w:val="Org_Fax"/>
    <w:docVar w:name="eavrop21" w:val="Org_Nr"/>
    <w:docVar w:name="eavrop22" w:val="Org_UpphandlareNamn"/>
    <w:docVar w:name="eavrop23" w:val="Org_UpphandlareEpost"/>
    <w:docVar w:name="eavrop24" w:val="Org_UpphandlareTel"/>
    <w:docVar w:name="eavrop25" w:val="Org_AvtalsagareNamn"/>
    <w:docVar w:name="eavrop26" w:val="Org_AvtalsagareEpost"/>
    <w:docVar w:name="eavrop27" w:val="Org_KvalitetsansvarigsNamn"/>
    <w:docVar w:name="eavrop28" w:val="Org_KvalitetsansvarigsEpost"/>
    <w:docVar w:name="eavrop29" w:val="Dat_Annons"/>
    <w:docVar w:name="eavrop3" w:val="Upp_Varugrupp"/>
    <w:docVar w:name="eavrop30" w:val="Dat_Sistaansokan2"/>
    <w:docVar w:name="eavrop31" w:val="Dat_SistaFragaAnsokan2"/>
    <w:docVar w:name="eavrop32" w:val="Dat_UtskickUnderlag2"/>
    <w:docVar w:name="eavrop33" w:val="Dat_SistaAnbud"/>
    <w:docVar w:name="eavrop34" w:val="Dat_SistaFraga"/>
    <w:docVar w:name="eavrop35" w:val="Dat_Oppna"/>
    <w:docVar w:name="eavrop36" w:val="Dat_Tilldela"/>
    <w:docVar w:name="eavrop37" w:val="Dat_Kontrakt"/>
    <w:docVar w:name="eavrop38" w:val="Dat_Bindande"/>
    <w:docVar w:name="eavrop39" w:val="Dat_AvtalFran"/>
    <w:docVar w:name="eavrop4" w:val="Upp_Namn"/>
    <w:docVar w:name="eavrop40" w:val="Dat_AvtalTill"/>
    <w:docVar w:name="eavrop41" w:val="Dat_FastPris"/>
    <w:docVar w:name="eavrop42" w:val="Dat_Forlangning1"/>
    <w:docVar w:name="eavrop43" w:val="Dat_Forlangning2"/>
    <w:docVar w:name="eavrop44" w:val="Dat_Forlangning3"/>
    <w:docVar w:name="eavrop45" w:val="Dat_Forlangning4"/>
    <w:docVar w:name="eavrop46" w:val="Dat_Forlangning5"/>
    <w:docVar w:name="eavrop47" w:val="Dat_AntalAnnonsDagar"/>
    <w:docVar w:name="eavrop48" w:val="Dat_AntalAnbudsdagar"/>
    <w:docVar w:name="eavrop49" w:val="Dat_AntalProjektdagar"/>
    <w:docVar w:name="eavrop5" w:val="Upp_Omfattning"/>
    <w:docVar w:name="eavrop50" w:val="Dat_AntalUpphandlingsdagar"/>
    <w:docVar w:name="eavrop51" w:val="Dat_AntalDagar"/>
    <w:docVar w:name="eavrop52" w:val="Dat_Kopplad"/>
    <w:docVar w:name="eavrop53" w:val="Lev_Ort"/>
    <w:docVar w:name="eavrop54" w:val="Lev_Postadress"/>
    <w:docVar w:name="eavrop55" w:val="Lev_Kontaktperson"/>
    <w:docVar w:name="eavrop56" w:val="Lev_Kontaktepost"/>
    <w:docVar w:name="eavrop57" w:val="Lev_OrgNr"/>
    <w:docVar w:name="eavrop58" w:val="Lev_Namn"/>
    <w:docVar w:name="eavrop59" w:val="Lev_Adress"/>
    <w:docVar w:name="eavrop6" w:val="Upp_Varde"/>
    <w:docVar w:name="eavrop60" w:val="Lev_Tel"/>
    <w:docVar w:name="eavrop61" w:val="Lev_SubGroups"/>
    <w:docVar w:name="eavrop62" w:val="Rap_ListaProjektgrupp"/>
    <w:docVar w:name="eavrop63" w:val="Rap_AntalIntressenter"/>
    <w:docVar w:name="eavrop64" w:val="Rap_AntalPrenumeranter"/>
    <w:docVar w:name="eavrop65" w:val="Rap_AntalAnsokningar2"/>
    <w:docVar w:name="eavrop66" w:val="Rap_ListaAnsokningar2"/>
    <w:docVar w:name="eavrop67" w:val="Rap_AntalKvalificerade2"/>
    <w:docVar w:name="eavrop68" w:val="Rap_ListaKvalificerade2"/>
    <w:docVar w:name="eavrop69" w:val="Rap_AntalAnbud"/>
    <w:docVar w:name="eavrop7" w:val="Upp_Diarie"/>
    <w:docVar w:name="eavrop70" w:val="Rap_ListaAnbud"/>
    <w:docVar w:name="eavrop71" w:val="Rap_AntalVinnare"/>
    <w:docVar w:name="eavrop72" w:val="Rap_ListVinnare"/>
    <w:docVar w:name="eavrop73" w:val="Rap_InternKommentar"/>
    <w:docVar w:name="eavrop74" w:val="Rap_AnmKvalificering"/>
    <w:docVar w:name="eavrop8" w:val="Upp_CPV"/>
    <w:docVar w:name="eavrop9" w:val="Upp_AntaAnbud"/>
    <w:docVar w:name="eavropG1" w:val="Upphandling"/>
    <w:docVar w:name="eavropG10" w:val="Grunduppgifter"/>
    <w:docVar w:name="eavropG11" w:val="Grunduppgifter"/>
    <w:docVar w:name="eavropG12" w:val="Grunduppgifter"/>
    <w:docVar w:name="eavropG13" w:val="Grunduppgifter"/>
    <w:docVar w:name="eavropG14" w:val="Grunduppgifter"/>
    <w:docVar w:name="eavropG15" w:val="Organisationen"/>
    <w:docVar w:name="eavropG16" w:val="Organisationen"/>
    <w:docVar w:name="eavropG17" w:val="Organisationen"/>
    <w:docVar w:name="eavropG18" w:val="Organisationen"/>
    <w:docVar w:name="eavropG19" w:val="Organisationen"/>
    <w:docVar w:name="eavropG2" w:val="Upphandling"/>
    <w:docVar w:name="eavropG20" w:val="Organisationen"/>
    <w:docVar w:name="eavropG21" w:val="Organisationen"/>
    <w:docVar w:name="eavropG22" w:val="Organisationen"/>
    <w:docVar w:name="eavropG23" w:val="Organisationen"/>
    <w:docVar w:name="eavropG24" w:val="Organisationen"/>
    <w:docVar w:name="eavropG25" w:val="Organisationen"/>
    <w:docVar w:name="eavropG26" w:val="Organisationen"/>
    <w:docVar w:name="eavropG27" w:val="Organisationen"/>
    <w:docVar w:name="eavropG28" w:val="Organisationen"/>
    <w:docVar w:name="eavropG29" w:val="Dateringar"/>
    <w:docVar w:name="eavropG3" w:val="Upphandling"/>
    <w:docVar w:name="eavropG30" w:val="Dateringar"/>
    <w:docVar w:name="eavropG31" w:val="Dateringar"/>
    <w:docVar w:name="eavropG32" w:val="Dateringar"/>
    <w:docVar w:name="eavropG33" w:val="Dateringar"/>
    <w:docVar w:name="eavropG34" w:val="Dateringar"/>
    <w:docVar w:name="eavropG35" w:val="Dateringar"/>
    <w:docVar w:name="eavropG36" w:val="Dateringar"/>
    <w:docVar w:name="eavropG37" w:val="Dateringar"/>
    <w:docVar w:name="eavropG38" w:val="Dateringar"/>
    <w:docVar w:name="eavropG39" w:val="Dateringar"/>
    <w:docVar w:name="eavropG4" w:val="Upphandling"/>
    <w:docVar w:name="eavropG40" w:val="Dateringar"/>
    <w:docVar w:name="eavropG41" w:val="Dateringar"/>
    <w:docVar w:name="eavropG42" w:val="Dateringar"/>
    <w:docVar w:name="eavropG43" w:val="Dateringar"/>
    <w:docVar w:name="eavropG44" w:val="Dateringar"/>
    <w:docVar w:name="eavropG45" w:val="Dateringar"/>
    <w:docVar w:name="eavropG46" w:val="Dateringar"/>
    <w:docVar w:name="eavropG47" w:val="Dateringar"/>
    <w:docVar w:name="eavropG48" w:val="Dateringar"/>
    <w:docVar w:name="eavropG49" w:val="Dateringar"/>
    <w:docVar w:name="eavropG5" w:val="Upphandling"/>
    <w:docVar w:name="eavropG50" w:val="Dateringar"/>
    <w:docVar w:name="eavropG51" w:val="Dateringar"/>
    <w:docVar w:name="eavropG52" w:val="Dateringar"/>
    <w:docVar w:name="eavropG53" w:val="Vinnande Leverantör"/>
    <w:docVar w:name="eavropG54" w:val="Vinnande Leverantör"/>
    <w:docVar w:name="eavropG55" w:val="Vinnande Leverantör"/>
    <w:docVar w:name="eavropG56" w:val="Vinnande Leverantör"/>
    <w:docVar w:name="eavropG57" w:val="Vinnande Leverantör"/>
    <w:docVar w:name="eavropG58" w:val="Vinnande Leverantör"/>
    <w:docVar w:name="eavropG59" w:val="Vinnande Leverantör"/>
    <w:docVar w:name="eavropG6" w:val="Upphandling"/>
    <w:docVar w:name="eavropG60" w:val="Vinnande Leverantör"/>
    <w:docVar w:name="eavropG61" w:val="Vinnande Leverantör"/>
    <w:docVar w:name="eavropG62" w:val="Rapportinformation"/>
    <w:docVar w:name="eavropG63" w:val="Rapportinformation"/>
    <w:docVar w:name="eavropG64" w:val="Rapportinformation"/>
    <w:docVar w:name="eavropG65" w:val="Rapportinformation"/>
    <w:docVar w:name="eavropG66" w:val="Rapportinformation"/>
    <w:docVar w:name="eavropG67" w:val="Rapportinformation"/>
    <w:docVar w:name="eavropG68" w:val="Rapportinformation"/>
    <w:docVar w:name="eavropG69" w:val="Rapportinformation"/>
    <w:docVar w:name="eavropG7" w:val="Upphandling"/>
    <w:docVar w:name="eavropG70" w:val="Rapportinformation"/>
    <w:docVar w:name="eavropG71" w:val="Rapportinformation"/>
    <w:docVar w:name="eavropG72" w:val="Rapportinformation"/>
    <w:docVar w:name="eavropG73" w:val="Rapportinformation"/>
    <w:docVar w:name="eavropG74" w:val="Rapportinformation"/>
    <w:docVar w:name="eavropG8" w:val="Upphandling"/>
    <w:docVar w:name="eavropG9" w:val="Grunduppgifter"/>
    <w:docVar w:name="eavropX1" w:val="Upphandlingsförfarande"/>
    <w:docVar w:name="eavropX10" w:val="Typ av utvärdering. Helt eller delat anbud."/>
    <w:docVar w:name="eavropX11" w:val="Typ av avtal: rangordnat, förnyad konkurrens, komboavtal eller avtal med 1 leverantör."/>
    <w:docVar w:name="eavropX12" w:val="Gräns när förnyad konkurrensutsättning ska användas. Gäller för rangordnade avtal."/>
    <w:docVar w:name="eavropX13" w:val="Beskrivning av fråga svar, anbudsinlämning och avtalstyp riktad till leverantören."/>
    <w:docVar w:name="eavropX14" w:val="Listar vilka upphandlingen samordnas med"/>
    <w:docVar w:name="eavropX15" w:val="Organisationens namn"/>
    <w:docVar w:name="eavropX16" w:val="Organisationens Adress"/>
    <w:docVar w:name="eavropX17" w:val="Organisationens Postadress"/>
    <w:docVar w:name="eavropX18" w:val="Organisationens Ort"/>
    <w:docVar w:name="eavropX19" w:val="Organisationens Telefonnummer"/>
    <w:docVar w:name="eavropX2" w:val="Avtalets kategori. Namnet som information i upphandlingen och för att kategorisera avtalen i avtalsdatabasen."/>
    <w:docVar w:name="eavropX20" w:val="Organisationens Telefaxnummer"/>
    <w:docVar w:name="eavropX21" w:val="Vårt organisationsnummer"/>
    <w:docVar w:name="eavropX22" w:val="Ansvarig upphandlares namn"/>
    <w:docVar w:name="eavropX23" w:val="Ansvarig upphandlares e-post"/>
    <w:docVar w:name="eavropX24" w:val="Ansvarig upphandlares telefon"/>
    <w:docVar w:name="eavropX25" w:val="Avtalsägarens namn"/>
    <w:docVar w:name="eavropX26" w:val="Avtalsägarens e-post"/>
    <w:docVar w:name="eavropX27" w:val="Namn på kvalitetsansvarig för avtalet"/>
    <w:docVar w:name="eavropX28" w:val="E-post till kvalitetsansvarig för avtalet"/>
    <w:docVar w:name="eavropX29" w:val="Första dag då annonsen kan publiceras"/>
    <w:docVar w:name="eavropX3" w:val="Avtalets varugrupp. Namnet som information i upphandlingen och för att gruppera avtalen i avtalsdatabasen."/>
    <w:docVar w:name="eavropX30" w:val="Sista dag för att inkomma med ansökan (sel, urv, förh.)"/>
    <w:docVar w:name="eavropX31" w:val="Sista dag för frågor ansökan (sel, urv, förh.)"/>
    <w:docVar w:name="eavropX32" w:val="Datum för utskick av upphandlingsdokument till kvalificerade leverantörer (sel, urv, förh.)"/>
    <w:docVar w:name="eavropX33" w:val="Sista anbudsdag"/>
    <w:docVar w:name="eavropX34" w:val="Sista dag att inkomma med frågor"/>
    <w:docVar w:name="eavropX35" w:val="Anbudsöppning"/>
    <w:docVar w:name="eavropX36" w:val="Datum för tilldelningsbeslut"/>
    <w:docVar w:name="eavropX37" w:val="Datum för kontraktstilldelning"/>
    <w:docVar w:name="eavropX38" w:val="Anbudet bindande t.o.m"/>
    <w:docVar w:name="eavropX39" w:val="Avtalsperiod från"/>
    <w:docVar w:name="eavropX4" w:val="Upphandlingens namn"/>
    <w:docVar w:name="eavropX40" w:val="Avtalsperiod till"/>
    <w:docVar w:name="eavropX41" w:val="Avtalade priser fasta t.o.m"/>
    <w:docVar w:name="eavropX42" w:val="Förlängningsoption1"/>
    <w:docVar w:name="eavropX43" w:val="Förlängningsoption2"/>
    <w:docVar w:name="eavropX44" w:val="Förlängningsoption3"/>
    <w:docVar w:name="eavropX45" w:val="Förlängningsoption4"/>
    <w:docVar w:name="eavropX46" w:val="Förlängningsoption5"/>
    <w:docVar w:name="eavropX47" w:val="Antal dagar mellan annonsering och sista anbudsdag/ansökningsdag i (sel, urv, förh.)"/>
    <w:docVar w:name="eavropX48" w:val="Antal dagar mellan annons och sista anbudsdag eller mellan utskick underlag och sista anbudsdag (sel, urv, förh)"/>
    <w:docVar w:name="eavropX49" w:val="Antal dagar mellan start och annonsering"/>
    <w:docVar w:name="eavropX5" w:val="Beskrivning av upphandlingens omfattning"/>
    <w:docVar w:name="eavropX50" w:val="Antal dagar mellan annons och kontrakt eller mellan utskick underlag och kontrakt (sel, urv, förh)"/>
    <w:docVar w:name="eavropX51" w:val="Antal dagar hela projektet"/>
    <w:docVar w:name="eavropX52" w:val="Tidpunkt när dokumentet kopplades."/>
    <w:docVar w:name="eavropX53" w:val="Ort Vinnande anbud"/>
    <w:docVar w:name="eavropX54" w:val="Postadress Vinnande anbud"/>
    <w:docVar w:name="eavropX55" w:val="Kontaktperson Vinnande anbud"/>
    <w:docVar w:name="eavropX56" w:val="Kontakt e-post Vinnande anbud"/>
    <w:docVar w:name="eavropX57" w:val="Organisationsnummer Vinnande anbud"/>
    <w:docVar w:name="eavropX58" w:val="Företagsnamn Vinnande anbud"/>
    <w:docVar w:name="eavropX59" w:val="Adress Vinnande anbud"/>
    <w:docVar w:name="eavropX6" w:val="Upphandlingens värde"/>
    <w:docVar w:name="eavropX60" w:val="Telefon Vinnande anbud"/>
    <w:docVar w:name="eavropX61" w:val="Undergrupp Vinnande anbud"/>
    <w:docVar w:name="eavropX62" w:val="Lista på projektmedlemmar"/>
    <w:docVar w:name="eavropX63" w:val="Antal intressenter som meddelades om denna upphandling vid annonseringstillfället"/>
    <w:docVar w:name="eavropX64" w:val="Antal som hämtat upphandlingsdokumentet"/>
    <w:docVar w:name="eavropX65" w:val="Antal företag som inkommit med ansökan i (sel, urv, förh)"/>
    <w:docVar w:name="eavropX66" w:val="Lista med sökande företag (sel, urv, förh)"/>
    <w:docVar w:name="eavropX67" w:val="Antal kvalificerade företag (sel, urv, förh)"/>
    <w:docVar w:name="eavropX68" w:val="Lista med kvalificerade företag (sel, urv, förh)"/>
    <w:docVar w:name="eavropX69" w:val="Antal inkomna anbud"/>
    <w:docVar w:name="eavropX7" w:val="Upphandlingens diarienummer"/>
    <w:docVar w:name="eavropX70" w:val="Lista med inkomna anbud"/>
    <w:docVar w:name="eavropX71" w:val="Antal vinnande anbud"/>
    <w:docVar w:name="eavropX72" w:val="Lista med vinnande anbud"/>
    <w:docVar w:name="eavropX73" w:val="Lista med anbudsgivare och inter kommentar"/>
    <w:docVar w:name="eavropX74" w:val="Lista med anbudsgivare och diskning-kommentar"/>
    <w:docVar w:name="eavropX8" w:val="Upphandlingens valda CPV-kodning"/>
    <w:docVar w:name="eavropX9" w:val="Hur anbud antas. Ekonomiskt mest fördelaktiga m. a. p. pris, kostnad eller bästa förhållande mellan pris och kvalitet."/>
  </w:docVars>
  <w:rsids>
    <w:rsidRoot w:val="00B34791"/>
    <w:rsid w:val="00182A03"/>
    <w:rsid w:val="0026081E"/>
    <w:rsid w:val="0037705C"/>
    <w:rsid w:val="00381481"/>
    <w:rsid w:val="00426B0E"/>
    <w:rsid w:val="00533910"/>
    <w:rsid w:val="0055795C"/>
    <w:rsid w:val="008A55A4"/>
    <w:rsid w:val="00924B1D"/>
    <w:rsid w:val="009D62F5"/>
    <w:rsid w:val="009E7301"/>
    <w:rsid w:val="00A21495"/>
    <w:rsid w:val="00A94058"/>
    <w:rsid w:val="00B34791"/>
    <w:rsid w:val="00C54383"/>
    <w:rsid w:val="00D966B7"/>
    <w:rsid w:val="00ED1D1C"/>
    <w:rsid w:val="00F41802"/>
    <w:rsid w:val="00F70CC6"/>
    <w:rsid w:val="00FE0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29AB2"/>
  <w15:chartTrackingRefBased/>
  <w15:docId w15:val="{22428313-CEB7-48E0-87EA-E47EF97F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34791"/>
    <w:pPr>
      <w:spacing w:before="120" w:after="60" w:line="264" w:lineRule="auto"/>
      <w:jc w:val="both"/>
    </w:pPr>
    <w:rPr>
      <w:rFonts w:ascii="Arial" w:eastAsia="Times New Roman" w:hAnsi="Arial" w:cs="Times New Roman"/>
      <w:kern w:val="0"/>
      <w:szCs w:val="20"/>
      <w:lang w:eastAsia="sv-SE"/>
      <w14:ligatures w14:val="non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rsid w:val="00B34791"/>
    <w:pPr>
      <w:ind w:left="720"/>
      <w:contextualSpacing/>
    </w:pPr>
  </w:style>
  <w:style w:type="paragraph" w:styleId="Normalwebb">
    <w:name w:val="Normal (Web)"/>
    <w:basedOn w:val="Normal"/>
    <w:uiPriority w:val="99"/>
    <w:semiHidden/>
    <w:unhideWhenUsed/>
    <w:rsid w:val="00B3479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D966B7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unhideWhenUsed/>
    <w:rsid w:val="00D966B7"/>
    <w:pPr>
      <w:spacing w:line="240" w:lineRule="auto"/>
    </w:pPr>
    <w:rPr>
      <w:sz w:val="20"/>
    </w:rPr>
  </w:style>
  <w:style w:type="character" w:customStyle="1" w:styleId="KommentarerChar">
    <w:name w:val="Kommentarer Char"/>
    <w:basedOn w:val="Standardstycketeckensnitt"/>
    <w:link w:val="Kommentarer"/>
    <w:uiPriority w:val="99"/>
    <w:rsid w:val="00D966B7"/>
    <w:rPr>
      <w:rFonts w:ascii="Arial" w:eastAsia="Times New Roman" w:hAnsi="Arial" w:cs="Times New Roman"/>
      <w:kern w:val="0"/>
      <w:sz w:val="20"/>
      <w:szCs w:val="20"/>
      <w:lang w:eastAsia="sv-SE"/>
      <w14:ligatures w14:val="none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D966B7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D966B7"/>
    <w:rPr>
      <w:rFonts w:ascii="Arial" w:eastAsia="Times New Roman" w:hAnsi="Arial" w:cs="Times New Roman"/>
      <w:b/>
      <w:bCs/>
      <w:kern w:val="0"/>
      <w:sz w:val="20"/>
      <w:szCs w:val="20"/>
      <w:lang w:eastAsia="sv-SE"/>
      <w14:ligatures w14:val="none"/>
    </w:rPr>
  </w:style>
  <w:style w:type="character" w:styleId="Hyperlnk">
    <w:name w:val="Hyperlink"/>
    <w:basedOn w:val="Standardstycketeckensnitt"/>
    <w:uiPriority w:val="99"/>
    <w:unhideWhenUsed/>
    <w:rsid w:val="0026081E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2608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styles" Target="styles.xml" />
  <Relationship Id="rId7" Type="http://schemas.openxmlformats.org/officeDocument/2006/relationships/theme" Target="theme/theme1.xml" />
  <Relationship Id="rId2" Type="http://schemas.openxmlformats.org/officeDocument/2006/relationships/numbering" Target="numbering.xml" />
  <Relationship Id="rId1" Type="http://schemas.microsoft.com/office/2006/relationships/keyMapCustomizations" Target="customizations.xml" />
  <Relationship Id="rId6" Type="http://schemas.openxmlformats.org/officeDocument/2006/relationships/fontTable" Target="fontTable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979</Words>
  <Characters>5194</Characters>
  <Application>Microsoft Office Word</Application>
  <DocSecurity>0</DocSecurity>
  <Lines>43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Rölin</dc:creator>
  <cp:keywords/>
  <dc:description/>
  <cp:lastModifiedBy>Carolina Tjärnkvist</cp:lastModifiedBy>
  <cp:revision>17</cp:revision>
  <dcterms:created xsi:type="dcterms:W3CDTF">2023-10-25T10:37:00Z</dcterms:created>
  <dcterms:modified xsi:type="dcterms:W3CDTF">2024-01-12T16:54:00Z</dcterms:modified>
</cp:coreProperties>
</file>